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风景园林艺术学院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研究生学业奖学金评定实施细则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鼓励研究生勤奋学习、潜心钻研，提高硕士研究生培养质量，根据《西北农林科技大学研究生学业奖学金管理办法（试行）》（校研发【2014】429号）文件精神，本着“公正、公平、公开、择优”的原则，结合我系实际，特制定本细则。</w:t>
      </w:r>
    </w:p>
    <w:p>
      <w:pPr>
        <w:tabs>
          <w:tab w:val="left" w:pos="6123"/>
        </w:tabs>
        <w:spacing w:line="360" w:lineRule="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一、评定组织与管理</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1.成立由党政领导、分管研究生思想政治教育和培养工作的负责人、研究生导师代表、学工（研究生）秘书、辅导员、研究生代表等组成的</w:t>
      </w:r>
      <w:r>
        <w:rPr>
          <w:rFonts w:hint="eastAsia" w:ascii="仿宋_GB2312" w:hAnsi="仿宋_GB2312" w:eastAsia="仿宋_GB2312" w:cs="仿宋_GB2312"/>
          <w:kern w:val="0"/>
          <w:sz w:val="32"/>
          <w:szCs w:val="32"/>
          <w:shd w:val="clear" w:color="auto" w:fill="FFFFFF"/>
        </w:rPr>
        <w:t>研究生奖学金评定工作小组</w:t>
      </w:r>
      <w:r>
        <w:rPr>
          <w:rFonts w:hint="eastAsia" w:ascii="仿宋_GB2312" w:hAnsi="仿宋_GB2312" w:eastAsia="仿宋_GB2312" w:cs="仿宋_GB2312"/>
          <w:kern w:val="0"/>
          <w:sz w:val="32"/>
          <w:szCs w:val="32"/>
        </w:rPr>
        <w:t>，负责学院研究生基本奖学金的评定工作及动态考核。</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2.研究生学业奖学金的奖励年限为研究生基本学制</w:t>
      </w:r>
      <w:r>
        <w:rPr>
          <w:rFonts w:hint="eastAsia" w:ascii="仿宋_GB2312" w:hAnsi="仿宋_GB2312" w:eastAsia="仿宋_GB2312" w:cs="仿宋_GB2312"/>
          <w:kern w:val="0"/>
          <w:sz w:val="32"/>
          <w:szCs w:val="32"/>
          <w:lang w:eastAsia="zh-CN"/>
        </w:rPr>
        <w:t>年限</w:t>
      </w:r>
      <w:r>
        <w:rPr>
          <w:rFonts w:hint="eastAsia" w:ascii="仿宋_GB2312" w:hAnsi="仿宋_GB2312" w:eastAsia="仿宋_GB2312" w:cs="仿宋_GB2312"/>
          <w:kern w:val="0"/>
          <w:sz w:val="32"/>
          <w:szCs w:val="32"/>
        </w:rPr>
        <w:t>。</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3.二、三年级研究生学业奖学金的评审根据参评学年研究生的思想品德、学习成绩、科研成果等内容进行综合评价。</w:t>
      </w:r>
    </w:p>
    <w:p>
      <w:pPr>
        <w:widowControl/>
        <w:spacing w:line="360" w:lineRule="auto"/>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评选对象</w:t>
      </w:r>
    </w:p>
    <w:p>
      <w:pPr>
        <w:pStyle w:val="9"/>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1、研究生学业奖学金奖励对象为就读我院的在籍的全</w:t>
      </w:r>
      <w:r>
        <w:rPr>
          <w:rFonts w:hint="eastAsia" w:ascii="仿宋_GB2312" w:hAnsi="仿宋_GB2312" w:eastAsia="仿宋_GB2312" w:cs="仿宋_GB2312"/>
          <w:kern w:val="0"/>
          <w:sz w:val="32"/>
          <w:szCs w:val="32"/>
          <w:lang w:eastAsia="zh-CN"/>
        </w:rPr>
        <w:t>日</w:t>
      </w:r>
      <w:r>
        <w:rPr>
          <w:rFonts w:hint="eastAsia" w:ascii="仿宋_GB2312" w:hAnsi="仿宋_GB2312" w:eastAsia="仿宋_GB2312" w:cs="仿宋_GB2312"/>
          <w:kern w:val="0"/>
          <w:sz w:val="32"/>
          <w:szCs w:val="32"/>
        </w:rPr>
        <w:t>制非在职研究生，且具有中华人民共和国国籍。</w:t>
      </w:r>
    </w:p>
    <w:p>
      <w:pPr>
        <w:pStyle w:val="9"/>
        <w:keepNext w:val="0"/>
        <w:keepLines w:val="0"/>
        <w:pageBreakBefore w:val="0"/>
        <w:widowControl/>
        <w:kinsoku/>
        <w:wordWrap/>
        <w:overflowPunct/>
        <w:topLinePunct w:val="0"/>
        <w:autoSpaceDE/>
        <w:autoSpaceDN/>
        <w:bidi w:val="0"/>
        <w:adjustRightInd/>
        <w:snapToGrid/>
        <w:spacing w:line="360" w:lineRule="auto"/>
        <w:ind w:right="0" w:rightChars="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2、研究生学业奖学金的奖励年限为研究生基本学制年限，博士研究生为3年，学术型硕士研究生为3年，全日制专业学位硕士研究生为</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 xml:space="preserve">年。 </w:t>
      </w:r>
      <w:bookmarkStart w:id="0" w:name="_GoBack"/>
      <w:bookmarkEnd w:id="0"/>
    </w:p>
    <w:p>
      <w:pPr>
        <w:widowControl/>
        <w:spacing w:line="360" w:lineRule="auto"/>
        <w:jc w:val="left"/>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三、奖励金额及比例</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博士研究生学业奖学金平均奖励标准为每生每年15000元。第一学年不分等级；第二和第三学年奖励等级与标准分别为一等奖每生每年18000元、二等奖每生每年15000元、三等奖每生每年12000元；奖励比例为一等奖占20%、二等奖占60%、三等奖占20%。</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术型硕士研究生学业奖学金平均奖励标准为每生每年8000元。第一学年不分等级；第二和第三学年奖励等级与标准分别为一等奖每生每年10000元、二等奖每生每年8000元、三等奖每生每年6000元；奖励比例为一等奖占20%、二等奖占60%、三等奖占20%。</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全日制专业学位硕士研究生学业奖学金平均奖励标准为每生每年8000元，不分等级。</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直博生、硕博连读研究生第一至第二学年执行学术型硕士研究生的奖励标准，直博生第三至第五学年执行博士研究生的奖励标准，硕博连读研究生转为博士研究生者执行博士研究生奖励标准，转为硕士研究生者执行学术型硕士研究生奖励标准。</w:t>
      </w:r>
    </w:p>
    <w:p>
      <w:pPr>
        <w:widowControl/>
        <w:spacing w:line="360" w:lineRule="auto"/>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四、研究生学业奖学金基本申请条件</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1.具有中华人民共和国国籍且就读我校的全日制研究生（不包括工商管理、公共管理专业研究生和在职研究生），且具备下列基本条件： </w:t>
      </w:r>
    </w:p>
    <w:p>
      <w:pPr>
        <w:pStyle w:val="9"/>
        <w:widowControl/>
        <w:spacing w:line="360" w:lineRule="auto"/>
        <w:ind w:left="57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（1）热爱社会主义祖国，拥护中国共产党的领导；</w:t>
      </w:r>
    </w:p>
    <w:p>
      <w:pPr>
        <w:pStyle w:val="9"/>
        <w:widowControl/>
        <w:spacing w:line="360" w:lineRule="auto"/>
        <w:ind w:left="57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 遵守宪法和法律，遵守学校规章制度；</w:t>
      </w:r>
    </w:p>
    <w:p>
      <w:pPr>
        <w:pStyle w:val="9"/>
        <w:widowControl/>
        <w:spacing w:line="360" w:lineRule="auto"/>
        <w:ind w:left="57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（3）诚实守信，品学兼优；</w:t>
      </w:r>
    </w:p>
    <w:p>
      <w:pPr>
        <w:pStyle w:val="9"/>
        <w:widowControl/>
        <w:spacing w:line="360" w:lineRule="auto"/>
        <w:ind w:left="57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（4）积极参与科学研究和社会实践；</w:t>
      </w:r>
    </w:p>
    <w:p>
      <w:pPr>
        <w:pStyle w:val="9"/>
        <w:widowControl/>
        <w:spacing w:line="360" w:lineRule="auto"/>
        <w:ind w:left="57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（5）本人提出申请且导师同意参评。</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2.具备下列情形之一的，取消当年申请资格：</w:t>
      </w:r>
    </w:p>
    <w:p>
      <w:pPr>
        <w:pStyle w:val="9"/>
        <w:widowControl/>
        <w:spacing w:line="360" w:lineRule="auto"/>
        <w:ind w:left="57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（1）课程考试有一门及以上不及格的； </w:t>
      </w:r>
    </w:p>
    <w:p>
      <w:pPr>
        <w:pStyle w:val="9"/>
        <w:widowControl/>
        <w:spacing w:line="360" w:lineRule="auto"/>
        <w:ind w:left="570" w:firstLine="0"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（2）在学校规定时间内未完成学籍注册手续者；</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（3）学术研究中违反学术道德行为或申请材料中弄虚作假者；</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（4）在学习或科研工作中，因个人主观行为给学校带来严重损失者；</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（5）违反国家法律法规或校纪校规受到记过以上（含记过）纪律处分者。</w:t>
      </w:r>
    </w:p>
    <w:p>
      <w:pPr>
        <w:pStyle w:val="9"/>
        <w:widowControl/>
        <w:spacing w:line="36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3.因公在国（境）外学习且具有我校学籍的研究生，仍具备研究生学业奖学金申请资格。研究生在休学或保留学籍期间，不具备研究生学业奖学金申请资格。</w:t>
      </w:r>
    </w:p>
    <w:p>
      <w:pPr>
        <w:tabs>
          <w:tab w:val="left" w:pos="6123"/>
        </w:tabs>
        <w:spacing w:line="360" w:lineRule="auto"/>
        <w:ind w:firstLine="62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 申请程序</w:t>
      </w:r>
    </w:p>
    <w:p>
      <w:pPr>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1. 个人申请。研究生填写学业奖学金申请表，经导师签署意见后，提交系研究生各班班长，并提供有关证明材料。</w:t>
      </w:r>
    </w:p>
    <w:p>
      <w:pPr>
        <w:widowControl/>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2.组织评审。</w:t>
      </w:r>
      <w:r>
        <w:rPr>
          <w:rFonts w:hint="eastAsia" w:ascii="仿宋_GB2312" w:hAnsi="仿宋_GB2312" w:eastAsia="仿宋_GB2312" w:cs="仿宋_GB2312"/>
          <w:kern w:val="0"/>
          <w:sz w:val="32"/>
          <w:szCs w:val="32"/>
          <w:shd w:val="clear" w:color="auto" w:fill="FFFFFF"/>
        </w:rPr>
        <w:t>研究生奖学金评定工作小组</w:t>
      </w:r>
      <w:r>
        <w:rPr>
          <w:rFonts w:hint="eastAsia" w:ascii="仿宋_GB2312" w:hAnsi="仿宋_GB2312" w:eastAsia="仿宋_GB2312" w:cs="仿宋_GB2312"/>
          <w:kern w:val="0"/>
          <w:sz w:val="32"/>
          <w:szCs w:val="32"/>
        </w:rPr>
        <w:t>组织专家组进行评审，评审结果在院内公示3个工作日。公示无异议后，提交学校研究生学业奖学金专项工作组审定。</w:t>
      </w:r>
    </w:p>
    <w:p>
      <w:pPr>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3.学校审定。学校研究生学业奖学金专项工作组对各学院（系、部、所）的评审结果进行审定，审定结果在校内公示3个工作日。公示无异议后，将审定名单提交计划财务处发放研究生学业奖学金。</w:t>
      </w:r>
    </w:p>
    <w:p>
      <w:pPr>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对研究生学业奖学金评审工作及结果有异议者，可在公示阶段向系奖助工作小组提出申诉，系奖助工作小组及时研究并予以答复。如申诉人对系奖助工作小组做出的答复仍存在异议，可在学校公示阶段向研究生学业奖学金专项工作组提请裁决。</w:t>
      </w:r>
    </w:p>
    <w:p>
      <w:pPr>
        <w:tabs>
          <w:tab w:val="left" w:pos="6123"/>
        </w:tabs>
        <w:spacing w:line="360" w:lineRule="auto"/>
        <w:ind w:firstLine="62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六、 指标体系和参照标准</w:t>
      </w:r>
    </w:p>
    <w:p>
      <w:pPr>
        <w:spacing w:line="360" w:lineRule="auto"/>
        <w:ind w:firstLine="630" w:firstLineChars="196"/>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（一）指标体系</w:t>
      </w:r>
    </w:p>
    <w:p>
      <w:pPr>
        <w:autoSpaceDE w:val="0"/>
        <w:autoSpaceDN w:val="0"/>
        <w:adjustRightInd w:val="0"/>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奖学金评定指标体系包括思想品德、学习成绩、科研成果三项内容。其中思想品德为</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0%，学习成绩为30%，科研成果为</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0%。</w:t>
      </w:r>
    </w:p>
    <w:p>
      <w:pPr>
        <w:widowControl/>
        <w:shd w:val="clear" w:color="auto" w:fill="FFFFFF"/>
        <w:spacing w:line="360" w:lineRule="auto"/>
        <w:ind w:firstLine="320" w:firstLineChars="1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计分公式为：</w:t>
      </w:r>
    </w:p>
    <w:p>
      <w:pPr>
        <w:widowControl/>
        <w:shd w:val="clear" w:color="auto" w:fill="FFFFFF"/>
        <w:spacing w:line="360" w:lineRule="auto"/>
        <w:ind w:firstLine="320" w:firstLineChars="1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总分=思想品德×</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 学业成绩×30% + 科研成果</w:t>
      </w:r>
      <w:r>
        <w:rPr>
          <w:rFonts w:hint="eastAsia" w:ascii="仿宋_GB2312" w:hAnsi="仿宋_GB2312" w:eastAsia="仿宋_GB2312" w:cs="仿宋_GB2312"/>
          <w:kern w:val="0"/>
          <w:sz w:val="32"/>
          <w:szCs w:val="32"/>
          <w:lang w:eastAsia="zh-CN"/>
        </w:rPr>
        <w:t>标准化</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成绩</w:t>
      </w:r>
    </w:p>
    <w:p>
      <w:pPr>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其中“思想品德”由班级提供材料、研究生秘书审核确认；学习成绩由班级组织计算，研究生秘书审核确认；科研成果由导师、研究生秘书、班级审核确认。</w:t>
      </w:r>
    </w:p>
    <w:p>
      <w:pPr>
        <w:spacing w:line="360" w:lineRule="auto"/>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（二）参照标准</w:t>
      </w:r>
    </w:p>
    <w:p>
      <w:pPr>
        <w:spacing w:line="360" w:lineRule="auto"/>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思想品德（满分</w:t>
      </w:r>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0分）：</w:t>
      </w:r>
      <w:r>
        <w:rPr>
          <w:rFonts w:hint="eastAsia" w:ascii="仿宋_GB2312" w:hAnsi="仿宋_GB2312" w:eastAsia="仿宋_GB2312" w:cs="仿宋_GB2312"/>
          <w:kern w:val="0"/>
          <w:sz w:val="32"/>
          <w:szCs w:val="32"/>
        </w:rPr>
        <w:t>具体评分参照标准见附表。</w:t>
      </w:r>
    </w:p>
    <w:p>
      <w:pPr>
        <w:autoSpaceDE w:val="0"/>
        <w:autoSpaceDN w:val="0"/>
        <w:adjustRightInd w:val="0"/>
        <w:spacing w:line="360" w:lineRule="auto"/>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学习成绩（满分30分</w:t>
      </w:r>
      <w:r>
        <w:rPr>
          <w:rFonts w:hint="eastAsia" w:ascii="仿宋_GB2312" w:hAnsi="仿宋_GB2312" w:eastAsia="仿宋_GB2312" w:cs="仿宋_GB2312"/>
          <w:kern w:val="0"/>
          <w:sz w:val="32"/>
          <w:szCs w:val="32"/>
        </w:rPr>
        <w:t xml:space="preserve">）：学习成绩由课程成绩和外语成绩两部分组成。课程成绩评分计算公式为： </w:t>
      </w:r>
    </w:p>
    <w:p>
      <w:pPr>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课程成绩评分=[Σ（课程成绩×学分）/Σ学分]*</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0％，其中课程是指</w:t>
      </w:r>
      <w:r>
        <w:rPr>
          <w:rFonts w:hint="eastAsia" w:ascii="仿宋_GB2312" w:hAnsi="仿宋_GB2312" w:eastAsia="仿宋_GB2312" w:cs="仿宋_GB2312"/>
          <w:color w:val="000000"/>
          <w:kern w:val="0"/>
          <w:sz w:val="32"/>
          <w:szCs w:val="32"/>
        </w:rPr>
        <w:t>本学年所修的研究生培养方案中确定的课程（不含补本科课程），如课程按优、良、中、及格、不及格计分，优按90分计，良按80分计，中按70分计，及格按60分计。</w:t>
      </w:r>
    </w:p>
    <w:p>
      <w:pPr>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外语成绩：托福成绩</w:t>
      </w:r>
      <w:r>
        <w:rPr>
          <w:rFonts w:hint="eastAsia" w:ascii="仿宋_GB2312" w:hAnsi="仿宋_GB2312" w:eastAsia="仿宋_GB2312" w:cs="仿宋_GB2312"/>
          <w:color w:val="000000"/>
          <w:kern w:val="0"/>
          <w:sz w:val="32"/>
          <w:szCs w:val="32"/>
          <w:lang w:val="en-US" w:eastAsia="zh-CN"/>
        </w:rPr>
        <w:t>90</w:t>
      </w:r>
      <w:r>
        <w:rPr>
          <w:rFonts w:hint="eastAsia" w:ascii="仿宋_GB2312" w:hAnsi="仿宋_GB2312" w:eastAsia="仿宋_GB2312" w:cs="仿宋_GB2312"/>
          <w:color w:val="000000"/>
          <w:kern w:val="0"/>
          <w:sz w:val="32"/>
          <w:szCs w:val="32"/>
        </w:rPr>
        <w:t>分以上，或雅思成绩6.</w:t>
      </w:r>
      <w:r>
        <w:rPr>
          <w:rFonts w:hint="eastAsia" w:ascii="仿宋_GB2312" w:hAnsi="仿宋_GB2312" w:eastAsia="仿宋_GB2312" w:cs="仿宋_GB2312"/>
          <w:color w:val="000000"/>
          <w:kern w:val="0"/>
          <w:sz w:val="32"/>
          <w:szCs w:val="32"/>
          <w:lang w:val="en-US" w:eastAsia="zh-CN"/>
        </w:rPr>
        <w:t>5及</w:t>
      </w:r>
      <w:r>
        <w:rPr>
          <w:rFonts w:hint="eastAsia" w:ascii="仿宋_GB2312" w:hAnsi="仿宋_GB2312" w:eastAsia="仿宋_GB2312" w:cs="仿宋_GB2312"/>
          <w:color w:val="000000"/>
          <w:kern w:val="0"/>
          <w:sz w:val="32"/>
          <w:szCs w:val="32"/>
        </w:rPr>
        <w:t>以上，或GRE成绩1000分以上加</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分。</w:t>
      </w:r>
    </w:p>
    <w:p>
      <w:pPr>
        <w:autoSpaceDE w:val="0"/>
        <w:autoSpaceDN w:val="0"/>
        <w:adjustRightInd w:val="0"/>
        <w:spacing w:line="360" w:lineRule="auto"/>
        <w:ind w:firstLine="57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科研成果：</w:t>
      </w:r>
      <w:r>
        <w:rPr>
          <w:rFonts w:hint="eastAsia" w:ascii="仿宋_GB2312" w:hAnsi="仿宋_GB2312" w:eastAsia="仿宋_GB2312" w:cs="仿宋_GB2312"/>
          <w:kern w:val="0"/>
          <w:sz w:val="32"/>
          <w:szCs w:val="32"/>
        </w:rPr>
        <w:t>具体评分参照标准见附表。</w:t>
      </w:r>
    </w:p>
    <w:p>
      <w:pPr>
        <w:autoSpaceDE w:val="0"/>
        <w:autoSpaceDN w:val="0"/>
        <w:adjustRightInd w:val="0"/>
        <w:spacing w:line="360" w:lineRule="auto"/>
        <w:ind w:firstLine="57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第六条</w:t>
      </w:r>
      <w:r>
        <w:rPr>
          <w:rFonts w:hint="eastAsia" w:ascii="仿宋_GB2312" w:hAnsi="仿宋_GB2312" w:eastAsia="仿宋_GB2312" w:cs="仿宋_GB2312"/>
          <w:kern w:val="0"/>
          <w:sz w:val="32"/>
          <w:szCs w:val="32"/>
        </w:rPr>
        <w:t xml:space="preserve">  所有参评奖项、成果均为本学年范围内所获。</w:t>
      </w:r>
    </w:p>
    <w:p>
      <w:pPr>
        <w:widowControl/>
        <w:spacing w:line="360" w:lineRule="auto"/>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第七条 </w:t>
      </w:r>
      <w:r>
        <w:rPr>
          <w:rFonts w:hint="eastAsia" w:ascii="仿宋_GB2312" w:hAnsi="仿宋_GB2312" w:eastAsia="仿宋_GB2312" w:cs="仿宋_GB2312"/>
          <w:kern w:val="0"/>
          <w:sz w:val="32"/>
          <w:szCs w:val="32"/>
        </w:rPr>
        <w:t xml:space="preserve"> 已获得研究生学业奖学金的研究生，被发现存在本办法第二条第2款情形的，取消当年研究生学业奖学金获奖资格，并追回已发放的研究生学业奖学金。</w:t>
      </w:r>
    </w:p>
    <w:p>
      <w:pPr>
        <w:pStyle w:val="4"/>
        <w:spacing w:before="0" w:beforeAutospacing="0" w:after="0" w:afterAutospacing="0" w:line="360" w:lineRule="auto"/>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本办法自2014年秋季学期及以后入学的研究生起实施。</w:t>
      </w:r>
    </w:p>
    <w:p>
      <w:pPr>
        <w:widowControl/>
        <w:spacing w:line="360" w:lineRule="auto"/>
        <w:ind w:firstLine="630"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kern w:val="0"/>
          <w:sz w:val="32"/>
          <w:szCs w:val="32"/>
        </w:rPr>
        <w:t>本办法如有未尽事宜，由学院</w:t>
      </w:r>
      <w:r>
        <w:rPr>
          <w:rFonts w:hint="eastAsia" w:ascii="仿宋_GB2312" w:hAnsi="仿宋_GB2312" w:eastAsia="仿宋_GB2312" w:cs="仿宋_GB2312"/>
          <w:kern w:val="0"/>
          <w:sz w:val="32"/>
          <w:szCs w:val="32"/>
          <w:shd w:val="clear" w:color="auto" w:fill="FFFFFF"/>
        </w:rPr>
        <w:t>研究生奖学金评定工作小组</w:t>
      </w:r>
      <w:r>
        <w:rPr>
          <w:rFonts w:hint="eastAsia" w:ascii="仿宋_GB2312" w:hAnsi="仿宋_GB2312" w:eastAsia="仿宋_GB2312" w:cs="仿宋_GB2312"/>
          <w:kern w:val="0"/>
          <w:sz w:val="32"/>
          <w:szCs w:val="32"/>
        </w:rPr>
        <w:t>另行议定。</w:t>
      </w:r>
    </w:p>
    <w:p>
      <w:pPr>
        <w:spacing w:line="300" w:lineRule="auto"/>
        <w:rPr>
          <w:rFonts w:ascii="黑体" w:eastAsia="黑体"/>
          <w:sz w:val="32"/>
          <w:szCs w:val="32"/>
        </w:rPr>
      </w:pPr>
      <w:r>
        <w:rPr>
          <w:rFonts w:hint="eastAsia" w:ascii="黑体"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风景园林艺术学院学业奖学金评选计分标准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rPr>
      </w:pPr>
    </w:p>
    <w:p>
      <w:pPr>
        <w:spacing w:line="54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基础分。</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val="en-US" w:eastAsia="zh-CN"/>
        </w:rPr>
        <w:t>.</w:t>
      </w:r>
      <w:r>
        <w:rPr>
          <w:rFonts w:hint="eastAsia" w:ascii="仿宋_GB2312" w:eastAsia="仿宋_GB2312"/>
          <w:sz w:val="30"/>
          <w:szCs w:val="30"/>
        </w:rPr>
        <w:t>德育成绩分</w:t>
      </w:r>
    </w:p>
    <w:p>
      <w:pPr>
        <w:widowControl/>
        <w:shd w:val="clear" w:color="auto" w:fill="FFFFFF"/>
        <w:spacing w:line="375" w:lineRule="atLeast"/>
        <w:ind w:firstLine="600" w:firstLineChars="200"/>
        <w:jc w:val="left"/>
        <w:rPr>
          <w:rFonts w:ascii="仿宋_GB2312" w:eastAsia="仿宋_GB2312"/>
          <w:sz w:val="30"/>
          <w:szCs w:val="30"/>
        </w:rPr>
      </w:pPr>
      <w:r>
        <w:rPr>
          <w:rFonts w:hint="eastAsia" w:ascii="仿宋_GB2312" w:eastAsia="仿宋_GB2312"/>
          <w:sz w:val="30"/>
          <w:szCs w:val="30"/>
        </w:rPr>
        <w:t>（1）导师评分：研究生德育成绩由导师根据学生个人品质修养、参与集体活动和遵守校纪校规等方面，推荐学生参与评奖，导师同意参评，得6分；</w:t>
      </w:r>
      <w:r>
        <w:rPr>
          <w:rFonts w:hint="eastAsia" w:ascii="仿宋_GB2312" w:eastAsia="仿宋_GB2312"/>
          <w:sz w:val="30"/>
          <w:szCs w:val="30"/>
        </w:rPr>
        <w:br w:type="textWrapping"/>
      </w:r>
      <w:r>
        <w:rPr>
          <w:rFonts w:hint="eastAsia" w:ascii="仿宋_GB2312" w:eastAsia="仿宋_GB2312"/>
          <w:sz w:val="30"/>
          <w:szCs w:val="30"/>
        </w:rPr>
        <w:t xml:space="preserve">    （2）获得荣誉加分：获得校级</w:t>
      </w:r>
      <w:r>
        <w:rPr>
          <w:rFonts w:hint="eastAsia" w:ascii="仿宋_GB2312" w:eastAsia="仿宋_GB2312"/>
          <w:sz w:val="30"/>
          <w:szCs w:val="30"/>
          <w:lang w:eastAsia="zh-CN"/>
        </w:rPr>
        <w:t>及以上</w:t>
      </w:r>
      <w:r>
        <w:rPr>
          <w:rFonts w:hint="eastAsia" w:ascii="仿宋_GB2312" w:eastAsia="仿宋_GB2312"/>
          <w:sz w:val="30"/>
          <w:szCs w:val="30"/>
        </w:rPr>
        <w:t>荣誉者，每项加2分，满分4分。</w:t>
      </w:r>
    </w:p>
    <w:p>
      <w:pPr>
        <w:spacing w:line="300" w:lineRule="auto"/>
        <w:ind w:firstLine="600" w:firstLineChars="200"/>
        <w:rPr>
          <w:rFonts w:ascii="仿宋_GB2312" w:eastAsia="仿宋_GB2312"/>
          <w:sz w:val="30"/>
          <w:szCs w:val="30"/>
        </w:rPr>
      </w:pPr>
      <w:r>
        <w:rPr>
          <w:rFonts w:hint="eastAsia" w:ascii="仿宋_GB2312" w:eastAsia="仿宋_GB2312"/>
          <w:sz w:val="30"/>
          <w:szCs w:val="30"/>
        </w:rPr>
        <w:t>（3）活动荣誉加分：</w:t>
      </w:r>
    </w:p>
    <w:p>
      <w:pPr>
        <w:spacing w:line="300" w:lineRule="auto"/>
        <w:ind w:firstLine="600" w:firstLineChars="200"/>
        <w:rPr>
          <w:rFonts w:ascii="仿宋_GB2312" w:eastAsia="仿宋_GB2312"/>
          <w:sz w:val="30"/>
          <w:szCs w:val="30"/>
        </w:rPr>
      </w:pPr>
      <w:r>
        <w:rPr>
          <w:rFonts w:hint="eastAsia" w:ascii="仿宋_GB2312" w:eastAsia="仿宋_GB2312"/>
          <w:sz w:val="30"/>
          <w:szCs w:val="30"/>
        </w:rPr>
        <w:t>①活动荣誉加分满分10分；</w:t>
      </w:r>
    </w:p>
    <w:p>
      <w:pPr>
        <w:spacing w:line="300" w:lineRule="auto"/>
        <w:ind w:firstLine="600" w:firstLineChars="200"/>
        <w:rPr>
          <w:rFonts w:hint="eastAsia" w:ascii="仿宋_GB2312" w:eastAsia="仿宋_GB2312"/>
          <w:sz w:val="30"/>
          <w:szCs w:val="30"/>
        </w:rPr>
      </w:pPr>
      <w:r>
        <w:rPr>
          <w:rFonts w:hint="eastAsia" w:ascii="仿宋_GB2312" w:eastAsia="仿宋_GB2312"/>
          <w:sz w:val="30"/>
          <w:szCs w:val="30"/>
        </w:rPr>
        <w:t>②各加分项目应有相关文件、证书、原件或部门证明予以证实，否则不予认可。</w:t>
      </w:r>
    </w:p>
    <w:p>
      <w:pPr>
        <w:spacing w:line="300" w:lineRule="auto"/>
        <w:ind w:firstLine="600" w:firstLineChars="200"/>
        <w:rPr>
          <w:rFonts w:ascii="仿宋_GB2312" w:eastAsia="仿宋_GB2312"/>
          <w:sz w:val="30"/>
          <w:szCs w:val="30"/>
        </w:rPr>
      </w:pPr>
      <w:r>
        <w:rPr>
          <w:rFonts w:hint="eastAsia" w:ascii="仿宋_GB2312" w:eastAsia="仿宋_GB2312"/>
          <w:sz w:val="30"/>
          <w:szCs w:val="30"/>
        </w:rPr>
        <w:t>③文体活动若为团体，所有成员均获得该项相应名次得分；</w:t>
      </w:r>
    </w:p>
    <w:p>
      <w:pPr>
        <w:spacing w:line="300" w:lineRule="auto"/>
        <w:ind w:firstLine="600" w:firstLineChars="200"/>
        <w:rPr>
          <w:rFonts w:ascii="仿宋_GB2312" w:eastAsia="仿宋_GB2312"/>
          <w:sz w:val="30"/>
          <w:szCs w:val="30"/>
        </w:rPr>
      </w:pPr>
      <w:r>
        <w:rPr>
          <w:rFonts w:hint="eastAsia" w:ascii="仿宋_GB2312" w:eastAsia="仿宋_GB2312"/>
          <w:sz w:val="30"/>
          <w:szCs w:val="30"/>
        </w:rPr>
        <w:t>④同一活动获不同等级奖，计最高分，不累加，若为不同项目，可累加；</w:t>
      </w:r>
    </w:p>
    <w:p>
      <w:pPr>
        <w:spacing w:line="300" w:lineRule="auto"/>
        <w:ind w:firstLine="600" w:firstLineChars="200"/>
        <w:rPr>
          <w:rFonts w:ascii="仿宋_GB2312" w:eastAsia="仿宋_GB2312"/>
          <w:sz w:val="30"/>
          <w:szCs w:val="30"/>
        </w:rPr>
      </w:pPr>
      <w:r>
        <w:rPr>
          <w:rFonts w:hint="eastAsia" w:ascii="仿宋_GB2312" w:eastAsia="仿宋_GB2312"/>
          <w:sz w:val="30"/>
          <w:szCs w:val="30"/>
        </w:rPr>
        <w:t>⑤活动获奖</w:t>
      </w:r>
      <w:r>
        <w:rPr>
          <w:rFonts w:hint="eastAsia" w:ascii="仿宋_GB2312" w:eastAsia="仿宋_GB2312"/>
          <w:sz w:val="30"/>
          <w:szCs w:val="30"/>
          <w:lang w:eastAsia="zh-CN"/>
        </w:rPr>
        <w:t>与学生工作</w:t>
      </w:r>
      <w:r>
        <w:rPr>
          <w:rFonts w:hint="eastAsia" w:ascii="仿宋_GB2312" w:eastAsia="仿宋_GB2312"/>
          <w:sz w:val="30"/>
          <w:szCs w:val="30"/>
        </w:rPr>
        <w:t>加分按以下标准：</w:t>
      </w:r>
      <w:r>
        <w:rPr>
          <w:rFonts w:hint="eastAsia" w:ascii="仿宋_GB2312" w:eastAsia="仿宋_GB2312"/>
          <w:sz w:val="30"/>
          <w:szCs w:val="30"/>
          <w:lang w:eastAsia="zh-CN"/>
        </w:rPr>
        <w:t>学生工作不累计加分，按最高分</w:t>
      </w:r>
      <w:r>
        <w:rPr>
          <w:rFonts w:hint="eastAsia" w:ascii="仿宋_GB2312" w:eastAsia="仿宋_GB2312"/>
          <w:sz w:val="30"/>
          <w:szCs w:val="30"/>
          <w:lang w:val="en-US" w:eastAsia="zh-CN"/>
        </w:rPr>
        <w:t>项</w:t>
      </w:r>
      <w:r>
        <w:rPr>
          <w:rFonts w:hint="eastAsia" w:ascii="仿宋_GB2312" w:eastAsia="仿宋_GB2312"/>
          <w:sz w:val="30"/>
          <w:szCs w:val="30"/>
          <w:lang w:eastAsia="zh-CN"/>
        </w:rPr>
        <w:t>计。</w:t>
      </w:r>
    </w:p>
    <w:p>
      <w:pPr>
        <w:spacing w:line="300" w:lineRule="auto"/>
        <w:jc w:val="center"/>
        <w:rPr>
          <w:rFonts w:ascii="仿宋_GB2312" w:eastAsia="仿宋_GB2312"/>
          <w:sz w:val="30"/>
          <w:szCs w:val="30"/>
        </w:rPr>
      </w:pPr>
    </w:p>
    <w:p>
      <w:pPr>
        <w:spacing w:line="300" w:lineRule="auto"/>
        <w:jc w:val="center"/>
        <w:rPr>
          <w:rFonts w:ascii="仿宋_GB2312" w:eastAsia="仿宋_GB2312"/>
          <w:sz w:val="30"/>
          <w:szCs w:val="30"/>
        </w:rPr>
      </w:pPr>
    </w:p>
    <w:p>
      <w:pPr>
        <w:spacing w:line="300" w:lineRule="auto"/>
        <w:jc w:val="center"/>
        <w:rPr>
          <w:rFonts w:ascii="仿宋_GB2312" w:eastAsia="仿宋_GB2312"/>
          <w:sz w:val="30"/>
          <w:szCs w:val="30"/>
        </w:rPr>
      </w:pPr>
    </w:p>
    <w:p>
      <w:pPr>
        <w:spacing w:line="300" w:lineRule="auto"/>
        <w:jc w:val="center"/>
        <w:rPr>
          <w:rFonts w:ascii="仿宋_GB2312" w:eastAsia="仿宋_GB2312"/>
          <w:sz w:val="30"/>
          <w:szCs w:val="30"/>
        </w:rPr>
      </w:pPr>
    </w:p>
    <w:p>
      <w:pPr>
        <w:spacing w:line="300" w:lineRule="auto"/>
        <w:jc w:val="center"/>
        <w:rPr>
          <w:rFonts w:ascii="仿宋_GB2312" w:eastAsia="仿宋_GB2312"/>
          <w:sz w:val="30"/>
          <w:szCs w:val="30"/>
        </w:rPr>
      </w:pPr>
      <w:r>
        <w:rPr>
          <w:rFonts w:hint="eastAsia" w:ascii="仿宋_GB2312" w:eastAsia="仿宋_GB2312"/>
          <w:sz w:val="30"/>
          <w:szCs w:val="30"/>
        </w:rPr>
        <w:t>活动获奖计分标准</w:t>
      </w:r>
    </w:p>
    <w:tbl>
      <w:tblPr>
        <w:tblStyle w:val="6"/>
        <w:tblpPr w:leftFromText="180" w:rightFromText="180" w:vertAnchor="text" w:tblpXSpec="center" w:tblpY="1"/>
        <w:tblOverlap w:val="never"/>
        <w:tblW w:w="7905" w:type="dxa"/>
        <w:tblInd w:w="0" w:type="dxa"/>
        <w:tblLayout w:type="fixed"/>
        <w:tblCellMar>
          <w:top w:w="0" w:type="dxa"/>
          <w:left w:w="108" w:type="dxa"/>
          <w:bottom w:w="0" w:type="dxa"/>
          <w:right w:w="108" w:type="dxa"/>
        </w:tblCellMar>
      </w:tblPr>
      <w:tblGrid>
        <w:gridCol w:w="1809"/>
        <w:gridCol w:w="2029"/>
        <w:gridCol w:w="1515"/>
        <w:gridCol w:w="2552"/>
      </w:tblGrid>
      <w:tr>
        <w:tblPrEx>
          <w:tblLayout w:type="fixed"/>
          <w:tblCellMar>
            <w:top w:w="0" w:type="dxa"/>
            <w:left w:w="108" w:type="dxa"/>
            <w:bottom w:w="0" w:type="dxa"/>
            <w:right w:w="108" w:type="dxa"/>
          </w:tblCellMar>
        </w:tblPrEx>
        <w:trPr>
          <w:trHeight w:val="300"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　</w:t>
            </w:r>
          </w:p>
        </w:tc>
        <w:tc>
          <w:tcPr>
            <w:tcW w:w="2029"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等级</w:t>
            </w:r>
          </w:p>
        </w:tc>
        <w:tc>
          <w:tcPr>
            <w:tcW w:w="1515"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文体活动</w:t>
            </w:r>
          </w:p>
        </w:tc>
        <w:tc>
          <w:tcPr>
            <w:tcW w:w="2552"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社会实践</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国家级</w:t>
            </w: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一等奖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5</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5</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二等奖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4</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4</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三等奖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3</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3</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省部级</w:t>
            </w: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一等奖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3</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3</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二等奖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2</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2</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三等奖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1</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1</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校级及地方级</w:t>
            </w: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一等奖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1</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1</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sz w:val="30"/>
                <w:szCs w:val="30"/>
              </w:rPr>
            </w:pP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二等奖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0.8</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0.8</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sz w:val="30"/>
                <w:szCs w:val="30"/>
              </w:rPr>
            </w:pPr>
          </w:p>
        </w:tc>
        <w:tc>
          <w:tcPr>
            <w:tcW w:w="2029"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三等奖</w:t>
            </w:r>
          </w:p>
        </w:tc>
        <w:tc>
          <w:tcPr>
            <w:tcW w:w="1515"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0.5</w:t>
            </w:r>
          </w:p>
        </w:tc>
        <w:tc>
          <w:tcPr>
            <w:tcW w:w="2552"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0.5</w:t>
            </w:r>
          </w:p>
        </w:tc>
      </w:tr>
    </w:tbl>
    <w:p>
      <w:pPr>
        <w:spacing w:line="300" w:lineRule="auto"/>
        <w:jc w:val="center"/>
        <w:rPr>
          <w:rFonts w:ascii="仿宋_GB2312" w:eastAsia="仿宋_GB2312"/>
          <w:sz w:val="30"/>
          <w:szCs w:val="30"/>
        </w:rPr>
      </w:pPr>
      <w:r>
        <w:rPr>
          <w:rFonts w:hint="eastAsia" w:ascii="仿宋_GB2312" w:eastAsia="仿宋_GB2312"/>
          <w:sz w:val="30"/>
          <w:szCs w:val="30"/>
          <w:lang w:eastAsia="zh-CN"/>
        </w:rPr>
        <w:t>学生工作</w:t>
      </w:r>
      <w:r>
        <w:rPr>
          <w:rFonts w:hint="eastAsia" w:ascii="仿宋_GB2312" w:eastAsia="仿宋_GB2312"/>
          <w:sz w:val="30"/>
          <w:szCs w:val="30"/>
        </w:rPr>
        <w:t>计分标准</w:t>
      </w:r>
    </w:p>
    <w:tbl>
      <w:tblPr>
        <w:tblStyle w:val="6"/>
        <w:tblpPr w:leftFromText="180" w:rightFromText="180" w:vertAnchor="text" w:tblpXSpec="center" w:tblpY="1"/>
        <w:tblOverlap w:val="never"/>
        <w:tblW w:w="7879" w:type="dxa"/>
        <w:tblInd w:w="0" w:type="dxa"/>
        <w:tblLayout w:type="fixed"/>
        <w:tblCellMar>
          <w:top w:w="0" w:type="dxa"/>
          <w:left w:w="108" w:type="dxa"/>
          <w:bottom w:w="0" w:type="dxa"/>
          <w:right w:w="108" w:type="dxa"/>
        </w:tblCellMar>
      </w:tblPr>
      <w:tblGrid>
        <w:gridCol w:w="1809"/>
        <w:gridCol w:w="2490"/>
        <w:gridCol w:w="3580"/>
      </w:tblGrid>
      <w:tr>
        <w:tblPrEx>
          <w:tblLayout w:type="fixed"/>
          <w:tblCellMar>
            <w:top w:w="0" w:type="dxa"/>
            <w:left w:w="108" w:type="dxa"/>
            <w:bottom w:w="0" w:type="dxa"/>
            <w:right w:w="108" w:type="dxa"/>
          </w:tblCellMar>
        </w:tblPrEx>
        <w:trPr>
          <w:trHeight w:val="300" w:hRule="atLeast"/>
        </w:trPr>
        <w:tc>
          <w:tcPr>
            <w:tcW w:w="1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　</w:t>
            </w:r>
          </w:p>
        </w:tc>
        <w:tc>
          <w:tcPr>
            <w:tcW w:w="249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等级</w:t>
            </w:r>
          </w:p>
        </w:tc>
        <w:tc>
          <w:tcPr>
            <w:tcW w:w="3580"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文体活动</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校研会</w:t>
            </w:r>
          </w:p>
        </w:tc>
        <w:tc>
          <w:tcPr>
            <w:tcW w:w="249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主席</w:t>
            </w:r>
          </w:p>
        </w:tc>
        <w:tc>
          <w:tcPr>
            <w:tcW w:w="3580"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5</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49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副主席</w:t>
            </w:r>
          </w:p>
        </w:tc>
        <w:tc>
          <w:tcPr>
            <w:tcW w:w="3580"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4</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49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部长级</w:t>
            </w:r>
          </w:p>
        </w:tc>
        <w:tc>
          <w:tcPr>
            <w:tcW w:w="3580"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rPr>
              <w:t>3</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院研会</w:t>
            </w:r>
          </w:p>
        </w:tc>
        <w:tc>
          <w:tcPr>
            <w:tcW w:w="2490"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lang w:eastAsia="zh-CN"/>
              </w:rPr>
              <w:t>主席</w:t>
            </w:r>
          </w:p>
        </w:tc>
        <w:tc>
          <w:tcPr>
            <w:tcW w:w="358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val="en-US" w:eastAsia="zh-CN"/>
              </w:rPr>
              <w:t>4</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490"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lang w:eastAsia="zh-CN"/>
              </w:rPr>
              <w:t>副主席</w:t>
            </w:r>
          </w:p>
        </w:tc>
        <w:tc>
          <w:tcPr>
            <w:tcW w:w="358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val="en-US" w:eastAsia="zh-CN"/>
              </w:rPr>
              <w:t>3</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30"/>
                <w:szCs w:val="30"/>
              </w:rPr>
            </w:pPr>
          </w:p>
        </w:tc>
        <w:tc>
          <w:tcPr>
            <w:tcW w:w="2490" w:type="dxa"/>
            <w:tcBorders>
              <w:top w:val="nil"/>
              <w:left w:val="nil"/>
              <w:bottom w:val="single" w:color="auto" w:sz="4" w:space="0"/>
              <w:right w:val="single" w:color="auto" w:sz="4" w:space="0"/>
            </w:tcBorders>
            <w:vAlign w:val="center"/>
          </w:tcPr>
          <w:p>
            <w:pPr>
              <w:widowControl/>
              <w:jc w:val="center"/>
              <w:rPr>
                <w:rFonts w:ascii="仿宋_GB2312" w:eastAsia="仿宋_GB2312"/>
                <w:sz w:val="30"/>
                <w:szCs w:val="30"/>
              </w:rPr>
            </w:pPr>
            <w:r>
              <w:rPr>
                <w:rFonts w:hint="eastAsia" w:ascii="仿宋_GB2312" w:eastAsia="仿宋_GB2312"/>
                <w:sz w:val="30"/>
                <w:szCs w:val="30"/>
                <w:lang w:eastAsia="zh-CN"/>
              </w:rPr>
              <w:t>部长级</w:t>
            </w:r>
          </w:p>
        </w:tc>
        <w:tc>
          <w:tcPr>
            <w:tcW w:w="358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val="en-US" w:eastAsia="zh-CN"/>
              </w:rPr>
              <w:t>2</w:t>
            </w:r>
          </w:p>
        </w:tc>
      </w:tr>
      <w:tr>
        <w:tblPrEx>
          <w:tblLayout w:type="fixed"/>
          <w:tblCellMar>
            <w:top w:w="0" w:type="dxa"/>
            <w:left w:w="108" w:type="dxa"/>
            <w:bottom w:w="0" w:type="dxa"/>
            <w:right w:w="108" w:type="dxa"/>
          </w:tblCellMar>
        </w:tblPrEx>
        <w:trPr>
          <w:trHeight w:val="300" w:hRule="atLeast"/>
        </w:trPr>
        <w:tc>
          <w:tcPr>
            <w:tcW w:w="1809"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党团支部</w:t>
            </w:r>
          </w:p>
        </w:tc>
        <w:tc>
          <w:tcPr>
            <w:tcW w:w="249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党支部书记</w:t>
            </w:r>
          </w:p>
        </w:tc>
        <w:tc>
          <w:tcPr>
            <w:tcW w:w="358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val="en-US" w:eastAsia="zh-CN"/>
              </w:rPr>
              <w:t>3</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sz w:val="30"/>
                <w:szCs w:val="30"/>
              </w:rPr>
            </w:pPr>
          </w:p>
        </w:tc>
        <w:tc>
          <w:tcPr>
            <w:tcW w:w="249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党支部委员</w:t>
            </w:r>
          </w:p>
        </w:tc>
        <w:tc>
          <w:tcPr>
            <w:tcW w:w="358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val="en-US" w:eastAsia="zh-CN"/>
              </w:rPr>
              <w:t>2</w:t>
            </w:r>
          </w:p>
        </w:tc>
      </w:tr>
      <w:tr>
        <w:tblPrEx>
          <w:tblLayout w:type="fixed"/>
          <w:tblCellMar>
            <w:top w:w="0" w:type="dxa"/>
            <w:left w:w="108" w:type="dxa"/>
            <w:bottom w:w="0" w:type="dxa"/>
            <w:right w:w="108" w:type="dxa"/>
          </w:tblCellMar>
        </w:tblPrEx>
        <w:trPr>
          <w:trHeight w:val="300" w:hRule="atLeast"/>
        </w:trPr>
        <w:tc>
          <w:tcPr>
            <w:tcW w:w="18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sz w:val="30"/>
                <w:szCs w:val="30"/>
              </w:rPr>
            </w:pPr>
          </w:p>
        </w:tc>
        <w:tc>
          <w:tcPr>
            <w:tcW w:w="249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eastAsia="zh-CN"/>
              </w:rPr>
              <w:t>班长团支书</w:t>
            </w:r>
          </w:p>
        </w:tc>
        <w:tc>
          <w:tcPr>
            <w:tcW w:w="3580" w:type="dxa"/>
            <w:tcBorders>
              <w:top w:val="nil"/>
              <w:left w:val="nil"/>
              <w:bottom w:val="single" w:color="auto" w:sz="4" w:space="0"/>
              <w:right w:val="single" w:color="auto" w:sz="4" w:space="0"/>
            </w:tcBorders>
            <w:vAlign w:val="center"/>
          </w:tcPr>
          <w:p>
            <w:pPr>
              <w:widowControl/>
              <w:jc w:val="center"/>
              <w:rPr>
                <w:rFonts w:hint="eastAsia" w:ascii="仿宋_GB2312" w:eastAsia="仿宋_GB2312"/>
                <w:sz w:val="30"/>
                <w:szCs w:val="30"/>
                <w:lang w:eastAsia="zh-CN"/>
              </w:rPr>
            </w:pPr>
            <w:r>
              <w:rPr>
                <w:rFonts w:hint="eastAsia" w:ascii="仿宋_GB2312" w:eastAsia="仿宋_GB2312"/>
                <w:sz w:val="30"/>
                <w:szCs w:val="30"/>
                <w:lang w:val="en-US" w:eastAsia="zh-CN"/>
              </w:rPr>
              <w:t>2</w:t>
            </w:r>
          </w:p>
        </w:tc>
      </w:tr>
    </w:tbl>
    <w:p>
      <w:pPr>
        <w:spacing w:line="540" w:lineRule="exact"/>
        <w:rPr>
          <w:rFonts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荣誉加分中所有加分荣誉均应在相应学历层次内获得</w:t>
      </w:r>
      <w:r>
        <w:rPr>
          <w:rFonts w:hint="eastAsia" w:ascii="仿宋_GB2312" w:eastAsia="仿宋_GB2312"/>
          <w:sz w:val="30"/>
          <w:szCs w:val="30"/>
          <w:lang w:eastAsia="zh-CN"/>
        </w:rPr>
        <w:t>，学生工作不累计加分</w:t>
      </w:r>
      <w:r>
        <w:rPr>
          <w:rFonts w:hint="eastAsia" w:ascii="仿宋_GB2312" w:eastAsia="仿宋_GB2312"/>
          <w:sz w:val="30"/>
          <w:szCs w:val="30"/>
        </w:rPr>
        <w:t>。</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2、学业成绩分</w:t>
      </w:r>
    </w:p>
    <w:p>
      <w:pPr>
        <w:spacing w:line="540" w:lineRule="exact"/>
        <w:ind w:firstLine="600" w:firstLineChars="200"/>
        <w:rPr>
          <w:rFonts w:ascii="仿宋_GB2312" w:eastAsia="仿宋_GB2312"/>
          <w:sz w:val="30"/>
          <w:szCs w:val="30"/>
        </w:rPr>
      </w:pPr>
      <w:r>
        <w:rPr>
          <w:rFonts w:hint="eastAsia" w:ascii="仿宋_GB2312" w:eastAsia="仿宋_GB2312"/>
          <w:sz w:val="30"/>
          <w:szCs w:val="30"/>
        </w:rPr>
        <w:t>学业成绩分=学生所修全部课程的整体加权平均分*30%</w:t>
      </w:r>
    </w:p>
    <w:p>
      <w:pPr>
        <w:spacing w:line="58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二</w:t>
      </w:r>
      <w:r>
        <w:rPr>
          <w:rFonts w:hint="eastAsia" w:ascii="黑体" w:hAnsi="黑体" w:eastAsia="黑体" w:cs="黑体"/>
          <w:sz w:val="30"/>
          <w:szCs w:val="30"/>
          <w:lang w:eastAsia="zh-CN"/>
        </w:rPr>
        <w:t>、</w:t>
      </w:r>
      <w:r>
        <w:rPr>
          <w:rFonts w:hint="eastAsia" w:ascii="黑体" w:hAnsi="黑体" w:eastAsia="黑体" w:cs="黑体"/>
          <w:sz w:val="30"/>
          <w:szCs w:val="30"/>
        </w:rPr>
        <w:t>创新能力分</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val="en-US" w:eastAsia="zh-CN"/>
        </w:rPr>
        <w:t>.</w:t>
      </w:r>
      <w:r>
        <w:rPr>
          <w:rFonts w:hint="eastAsia" w:ascii="仿宋_GB2312" w:eastAsia="仿宋_GB2312"/>
          <w:sz w:val="30"/>
          <w:szCs w:val="30"/>
        </w:rPr>
        <w:t>科技创新能力</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w:t>
      </w:r>
      <w:r>
        <w:rPr>
          <w:rFonts w:ascii="仿宋_GB2312" w:eastAsia="仿宋_GB2312"/>
          <w:sz w:val="30"/>
          <w:szCs w:val="30"/>
        </w:rPr>
        <w:t>发表论文</w:t>
      </w:r>
      <w:r>
        <w:rPr>
          <w:rFonts w:hint="eastAsia" w:ascii="仿宋_GB2312" w:eastAsia="仿宋_GB2312"/>
          <w:sz w:val="30"/>
          <w:szCs w:val="30"/>
        </w:rPr>
        <w:t>（</w:t>
      </w:r>
      <w:r>
        <w:rPr>
          <w:rFonts w:ascii="仿宋_GB2312" w:eastAsia="仿宋_GB2312"/>
          <w:sz w:val="30"/>
          <w:szCs w:val="30"/>
        </w:rPr>
        <w:t>按以下标准给予加分</w:t>
      </w:r>
      <w:r>
        <w:rPr>
          <w:rFonts w:hint="eastAsia" w:ascii="仿宋_GB2312" w:eastAsia="仿宋_GB2312"/>
          <w:sz w:val="30"/>
          <w:szCs w:val="30"/>
        </w:rPr>
        <w:t>）</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公开发表的学术研究论文需满足以下条件：学生为第一作者、导师为通讯作者</w:t>
      </w:r>
      <w:r>
        <w:rPr>
          <w:rFonts w:hint="eastAsia" w:ascii="仿宋_GB2312" w:eastAsia="仿宋_GB2312"/>
          <w:sz w:val="30"/>
          <w:szCs w:val="30"/>
          <w:lang w:eastAsia="zh-CN"/>
        </w:rPr>
        <w:t>，</w:t>
      </w:r>
      <w:r>
        <w:rPr>
          <w:rFonts w:hint="eastAsia" w:ascii="仿宋_GB2312" w:eastAsia="仿宋_GB2312"/>
          <w:sz w:val="30"/>
          <w:szCs w:val="30"/>
        </w:rPr>
        <w:t xml:space="preserve">西北农林科技大学为第一署名单位且排名顺序为第一。 </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公开发表的学术论文是指已在SCI、EI、A类、B类和核心期刊上发表的学术论文（含网络在线发表但还没有页码的SCI和EI论文）。</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0"/>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0" w:type="dxa"/>
            <w:vAlign w:val="center"/>
          </w:tcPr>
          <w:p>
            <w:pPr>
              <w:spacing w:line="380" w:lineRule="exact"/>
              <w:jc w:val="center"/>
              <w:rPr>
                <w:rFonts w:ascii="仿宋_GB2312" w:eastAsia="仿宋_GB2312"/>
                <w:sz w:val="24"/>
              </w:rPr>
            </w:pPr>
            <w:r>
              <w:rPr>
                <w:rFonts w:hint="eastAsia" w:ascii="仿宋_GB2312" w:eastAsia="仿宋_GB2312"/>
                <w:sz w:val="24"/>
              </w:rPr>
              <w:t>发表刊物</w:t>
            </w:r>
          </w:p>
        </w:tc>
        <w:tc>
          <w:tcPr>
            <w:tcW w:w="4252" w:type="dxa"/>
            <w:vAlign w:val="center"/>
          </w:tcPr>
          <w:p>
            <w:pPr>
              <w:spacing w:line="380" w:lineRule="exact"/>
              <w:jc w:val="center"/>
              <w:rPr>
                <w:rFonts w:ascii="仿宋_GB2312" w:eastAsia="仿宋_GB2312"/>
                <w:sz w:val="24"/>
              </w:rPr>
            </w:pPr>
            <w:r>
              <w:rPr>
                <w:rFonts w:hint="eastAsia" w:ascii="仿宋_GB2312" w:eastAsia="仿宋_GB2312"/>
                <w:sz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0" w:type="dxa"/>
            <w:vAlign w:val="center"/>
          </w:tcPr>
          <w:p>
            <w:pPr>
              <w:spacing w:line="380" w:lineRule="exact"/>
              <w:jc w:val="center"/>
              <w:rPr>
                <w:rFonts w:ascii="仿宋_GB2312" w:eastAsia="仿宋_GB2312"/>
                <w:sz w:val="24"/>
              </w:rPr>
            </w:pPr>
            <w:r>
              <w:rPr>
                <w:rFonts w:hint="eastAsia" w:ascii="仿宋_GB2312" w:eastAsia="仿宋_GB2312"/>
                <w:sz w:val="24"/>
              </w:rPr>
              <w:t>SCI论文</w:t>
            </w:r>
          </w:p>
        </w:tc>
        <w:tc>
          <w:tcPr>
            <w:tcW w:w="4252" w:type="dxa"/>
            <w:vAlign w:val="center"/>
          </w:tcPr>
          <w:p>
            <w:pPr>
              <w:spacing w:line="380" w:lineRule="exact"/>
              <w:jc w:val="center"/>
              <w:rPr>
                <w:rFonts w:ascii="仿宋_GB2312" w:eastAsia="仿宋_GB2312"/>
                <w:sz w:val="24"/>
              </w:rPr>
            </w:pPr>
            <w:r>
              <w:rPr>
                <w:rFonts w:hint="eastAsia" w:ascii="仿宋_GB2312" w:eastAsia="仿宋_GB2312"/>
                <w:sz w:val="24"/>
              </w:rPr>
              <w:t>10+IF*10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0" w:type="dxa"/>
            <w:vAlign w:val="center"/>
          </w:tcPr>
          <w:p>
            <w:pPr>
              <w:spacing w:line="380" w:lineRule="exact"/>
              <w:jc w:val="center"/>
              <w:rPr>
                <w:rFonts w:hint="eastAsia" w:ascii="仿宋_GB2312" w:eastAsia="仿宋_GB2312"/>
                <w:sz w:val="24"/>
              </w:rPr>
            </w:pPr>
            <w:r>
              <w:rPr>
                <w:rFonts w:hint="eastAsia" w:ascii="仿宋_GB2312" w:eastAsia="仿宋_GB2312"/>
                <w:sz w:val="24"/>
              </w:rPr>
              <w:t>EI</w:t>
            </w:r>
          </w:p>
        </w:tc>
        <w:tc>
          <w:tcPr>
            <w:tcW w:w="4252" w:type="dxa"/>
            <w:vAlign w:val="center"/>
          </w:tcPr>
          <w:p>
            <w:pPr>
              <w:spacing w:line="380" w:lineRule="exact"/>
              <w:jc w:val="center"/>
              <w:rPr>
                <w:rFonts w:hint="eastAsia" w:ascii="仿宋_GB2312" w:eastAsia="仿宋_GB2312"/>
                <w:sz w:val="24"/>
                <w:lang w:val="en-US" w:eastAsia="zh-CN"/>
              </w:rPr>
            </w:pPr>
            <w:r>
              <w:rPr>
                <w:rFonts w:hint="eastAsia" w:ascii="仿宋_GB2312" w:eastAsia="仿宋_GB2312"/>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0" w:type="dxa"/>
            <w:vAlign w:val="center"/>
          </w:tcPr>
          <w:p>
            <w:pPr>
              <w:spacing w:line="380" w:lineRule="exact"/>
              <w:jc w:val="center"/>
              <w:rPr>
                <w:rFonts w:ascii="仿宋_GB2312" w:eastAsia="仿宋_GB2312"/>
                <w:sz w:val="24"/>
              </w:rPr>
            </w:pPr>
            <w:r>
              <w:rPr>
                <w:rFonts w:hint="eastAsia" w:ascii="仿宋_GB2312" w:eastAsia="仿宋_GB2312"/>
                <w:sz w:val="24"/>
              </w:rPr>
              <w:t>国内A类学术期刊</w:t>
            </w:r>
          </w:p>
        </w:tc>
        <w:tc>
          <w:tcPr>
            <w:tcW w:w="4252" w:type="dxa"/>
            <w:vAlign w:val="center"/>
          </w:tcPr>
          <w:p>
            <w:pPr>
              <w:spacing w:line="380" w:lineRule="exact"/>
              <w:jc w:val="center"/>
              <w:rPr>
                <w:rFonts w:ascii="仿宋_GB2312" w:eastAsia="仿宋_GB2312"/>
                <w:sz w:val="24"/>
              </w:rPr>
            </w:pP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0" w:type="dxa"/>
            <w:vAlign w:val="center"/>
          </w:tcPr>
          <w:p>
            <w:pPr>
              <w:spacing w:line="380" w:lineRule="exact"/>
              <w:jc w:val="center"/>
              <w:rPr>
                <w:rFonts w:ascii="仿宋_GB2312" w:eastAsia="仿宋_GB2312"/>
                <w:sz w:val="24"/>
              </w:rPr>
            </w:pPr>
            <w:r>
              <w:rPr>
                <w:rFonts w:hint="eastAsia" w:ascii="仿宋_GB2312" w:eastAsia="仿宋_GB2312"/>
                <w:sz w:val="24"/>
              </w:rPr>
              <w:t>国内B类学术期刊</w:t>
            </w:r>
          </w:p>
        </w:tc>
        <w:tc>
          <w:tcPr>
            <w:tcW w:w="4252" w:type="dxa"/>
            <w:vAlign w:val="center"/>
          </w:tcPr>
          <w:p>
            <w:pPr>
              <w:spacing w:line="380" w:lineRule="exact"/>
              <w:jc w:val="center"/>
              <w:rPr>
                <w:rFonts w:ascii="仿宋_GB2312" w:eastAsia="仿宋_GB2312"/>
                <w:sz w:val="24"/>
              </w:rPr>
            </w:pPr>
            <w:r>
              <w:rPr>
                <w:rFonts w:hint="eastAsia" w:ascii="仿宋_GB2312" w:eastAsia="仿宋_GB2312"/>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0" w:type="dxa"/>
            <w:vAlign w:val="center"/>
          </w:tcPr>
          <w:p>
            <w:pPr>
              <w:spacing w:line="380" w:lineRule="exact"/>
              <w:jc w:val="center"/>
              <w:rPr>
                <w:rFonts w:ascii="仿宋_GB2312" w:eastAsia="仿宋_GB2312"/>
                <w:sz w:val="24"/>
              </w:rPr>
            </w:pPr>
            <w:r>
              <w:rPr>
                <w:rFonts w:hint="eastAsia" w:ascii="仿宋_GB2312" w:eastAsia="仿宋_GB2312"/>
                <w:sz w:val="24"/>
              </w:rPr>
              <w:t>国内核心期刊</w:t>
            </w:r>
          </w:p>
        </w:tc>
        <w:tc>
          <w:tcPr>
            <w:tcW w:w="4252" w:type="dxa"/>
            <w:vAlign w:val="center"/>
          </w:tcPr>
          <w:p>
            <w:pPr>
              <w:spacing w:line="380" w:lineRule="exact"/>
              <w:jc w:val="center"/>
              <w:rPr>
                <w:rFonts w:hint="eastAsia" w:ascii="仿宋_GB2312" w:eastAsia="仿宋_GB2312"/>
                <w:sz w:val="24"/>
                <w:lang w:eastAsia="zh-CN"/>
              </w:rPr>
            </w:pPr>
            <w:r>
              <w:rPr>
                <w:rFonts w:hint="eastAsia" w:ascii="仿宋_GB2312" w:eastAsia="仿宋_GB2312"/>
                <w:sz w:val="24"/>
                <w:lang w:val="en-US" w:eastAsia="zh-CN"/>
              </w:rPr>
              <w:t>1</w:t>
            </w:r>
          </w:p>
        </w:tc>
      </w:tr>
    </w:tbl>
    <w:p>
      <w:pPr>
        <w:spacing w:line="560" w:lineRule="exact"/>
        <w:ind w:firstLine="600" w:firstLineChars="200"/>
        <w:rPr>
          <w:rFonts w:ascii="仿宋_GB2312" w:eastAsia="仿宋_GB2312"/>
          <w:b/>
          <w:sz w:val="30"/>
          <w:szCs w:val="30"/>
        </w:rPr>
      </w:pPr>
      <w:r>
        <w:rPr>
          <w:rFonts w:hint="eastAsia" w:ascii="仿宋_GB2312" w:eastAsia="仿宋_GB2312"/>
          <w:sz w:val="30"/>
          <w:szCs w:val="30"/>
        </w:rPr>
        <w:t>参评论文需提供论文全文与我校图书馆开具的检索证明，其中SCI论文检索证明需注明期刊的最新影响因子，其他论文检索证明须注明类别（EI、A类、B类和核心）；对网络在线发表但还没有页码的SCI、EI论文，请打印网络版论文并将查实的期刊最新影响因子标注在论文首页左上角处【</w:t>
      </w:r>
      <w:r>
        <w:rPr>
          <w:rFonts w:hint="eastAsia" w:ascii="仿宋_GB2312" w:eastAsia="仿宋_GB2312"/>
          <w:b/>
          <w:sz w:val="30"/>
          <w:szCs w:val="30"/>
        </w:rPr>
        <w:t>曾获奖助学金者已经使用过的科研成果不得再次使用，同一篇论文只记一次分值】。</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 xml:space="preserve"> 科研成果获奖</w:t>
      </w:r>
      <w:r>
        <w:rPr>
          <w:rFonts w:hint="eastAsia" w:ascii="仿宋_GB2312" w:eastAsia="仿宋_GB2312"/>
          <w:sz w:val="30"/>
          <w:szCs w:val="30"/>
        </w:rPr>
        <w:t>（</w:t>
      </w:r>
      <w:r>
        <w:rPr>
          <w:rFonts w:ascii="仿宋_GB2312" w:eastAsia="仿宋_GB2312"/>
          <w:sz w:val="30"/>
          <w:szCs w:val="30"/>
        </w:rPr>
        <w:t>按以下标准给予加分</w:t>
      </w:r>
      <w:r>
        <w:rPr>
          <w:rFonts w:hint="eastAsia" w:ascii="仿宋_GB2312" w:eastAsia="仿宋_GB2312"/>
          <w:sz w:val="30"/>
          <w:szCs w:val="30"/>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078"/>
        <w:gridCol w:w="5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4" w:type="dxa"/>
            <w:gridSpan w:val="2"/>
          </w:tcPr>
          <w:p>
            <w:pPr>
              <w:spacing w:line="380" w:lineRule="exact"/>
              <w:jc w:val="center"/>
              <w:rPr>
                <w:rFonts w:ascii="仿宋_GB2312" w:eastAsia="仿宋_GB2312"/>
                <w:sz w:val="24"/>
              </w:rPr>
            </w:pPr>
            <w:r>
              <w:rPr>
                <w:rFonts w:hint="eastAsia" w:ascii="仿宋_GB2312" w:eastAsia="仿宋_GB2312"/>
                <w:sz w:val="24"/>
              </w:rPr>
              <w:t>奖励级别</w:t>
            </w:r>
          </w:p>
        </w:tc>
        <w:tc>
          <w:tcPr>
            <w:tcW w:w="5638" w:type="dxa"/>
          </w:tcPr>
          <w:p>
            <w:pPr>
              <w:spacing w:line="380" w:lineRule="exact"/>
              <w:jc w:val="center"/>
              <w:rPr>
                <w:rFonts w:ascii="仿宋_GB2312" w:eastAsia="仿宋_GB2312"/>
                <w:sz w:val="24"/>
              </w:rPr>
            </w:pPr>
            <w:r>
              <w:rPr>
                <w:rFonts w:hint="eastAsia" w:ascii="仿宋_GB2312" w:eastAsia="仿宋_GB2312"/>
                <w:sz w:val="24"/>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restart"/>
            <w:tcBorders>
              <w:right w:val="single" w:color="auto" w:sz="2" w:space="0"/>
            </w:tcBorders>
            <w:vAlign w:val="center"/>
          </w:tcPr>
          <w:p>
            <w:pPr>
              <w:spacing w:line="380" w:lineRule="exact"/>
              <w:jc w:val="center"/>
              <w:rPr>
                <w:rFonts w:ascii="仿宋_GB2312" w:eastAsia="仿宋_GB2312"/>
                <w:sz w:val="24"/>
              </w:rPr>
            </w:pPr>
            <w:r>
              <w:rPr>
                <w:rFonts w:hint="eastAsia" w:ascii="仿宋_GB2312" w:eastAsia="仿宋_GB2312"/>
                <w:sz w:val="24"/>
              </w:rPr>
              <w:t>国家级</w:t>
            </w:r>
          </w:p>
          <w:p>
            <w:pPr>
              <w:spacing w:line="380" w:lineRule="exact"/>
              <w:jc w:val="center"/>
              <w:rPr>
                <w:rFonts w:ascii="仿宋_GB2312" w:eastAsia="仿宋_GB2312"/>
                <w:sz w:val="24"/>
              </w:rPr>
            </w:pPr>
            <w:r>
              <w:rPr>
                <w:rFonts w:hint="eastAsia" w:ascii="仿宋_GB2312" w:eastAsia="仿宋_GB2312"/>
                <w:sz w:val="24"/>
              </w:rPr>
              <w:t>科学技术奖</w:t>
            </w: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一等奖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前十名依次加100、90、80、70、60、50、40、30、20、10分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二等奖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前五名依次加50、40、30、20、10分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三等奖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前三名依次加30、20、10分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restart"/>
            <w:tcBorders>
              <w:right w:val="single" w:color="auto" w:sz="2" w:space="0"/>
            </w:tcBorders>
          </w:tcPr>
          <w:p>
            <w:pPr>
              <w:spacing w:line="380" w:lineRule="exact"/>
              <w:jc w:val="center"/>
              <w:rPr>
                <w:rFonts w:ascii="仿宋_GB2312" w:eastAsia="仿宋_GB2312"/>
                <w:sz w:val="24"/>
              </w:rPr>
            </w:pPr>
            <w:r>
              <w:rPr>
                <w:rFonts w:hint="eastAsia" w:ascii="仿宋_GB2312" w:eastAsia="仿宋_GB2312"/>
                <w:sz w:val="24"/>
              </w:rPr>
              <w:t>省部级</w:t>
            </w:r>
          </w:p>
          <w:p>
            <w:pPr>
              <w:spacing w:line="380" w:lineRule="exact"/>
              <w:jc w:val="center"/>
              <w:rPr>
                <w:rFonts w:ascii="仿宋_GB2312" w:eastAsia="仿宋_GB2312"/>
                <w:sz w:val="24"/>
              </w:rPr>
            </w:pPr>
            <w:r>
              <w:rPr>
                <w:rFonts w:hint="eastAsia" w:ascii="仿宋_GB2312" w:eastAsia="仿宋_GB2312"/>
                <w:sz w:val="24"/>
              </w:rPr>
              <w:t>科学技术奖</w:t>
            </w: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一等奖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前五名依次加25、20、15、10、5分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二等奖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前三名依次加15、10、5分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三等奖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前二名依次加10、5分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restart"/>
            <w:tcBorders>
              <w:right w:val="single" w:color="auto" w:sz="2" w:space="0"/>
            </w:tcBorders>
          </w:tcPr>
          <w:p>
            <w:pPr>
              <w:spacing w:line="380" w:lineRule="exact"/>
              <w:jc w:val="center"/>
              <w:rPr>
                <w:rFonts w:ascii="仿宋_GB2312" w:eastAsia="仿宋_GB2312"/>
                <w:sz w:val="24"/>
              </w:rPr>
            </w:pPr>
            <w:r>
              <w:rPr>
                <w:rFonts w:hint="eastAsia" w:ascii="仿宋_GB2312" w:eastAsia="仿宋_GB2312"/>
                <w:sz w:val="24"/>
              </w:rPr>
              <w:t>国家级学会或专业协会主办的设计奖</w:t>
            </w: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一等奖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前三名依次加15、10、5分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二等奖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前二名依次加10、5分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三等奖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第一名加5分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restart"/>
            <w:tcBorders>
              <w:right w:val="single" w:color="auto" w:sz="2" w:space="0"/>
            </w:tcBorders>
          </w:tcPr>
          <w:p>
            <w:pPr>
              <w:spacing w:line="380" w:lineRule="exact"/>
              <w:jc w:val="center"/>
              <w:rPr>
                <w:rFonts w:ascii="仿宋_GB2312" w:eastAsia="仿宋_GB2312"/>
                <w:sz w:val="24"/>
              </w:rPr>
            </w:pPr>
            <w:r>
              <w:rPr>
                <w:rFonts w:hint="eastAsia" w:ascii="仿宋_GB2312" w:eastAsia="仿宋_GB2312"/>
                <w:sz w:val="24"/>
              </w:rPr>
              <w:t>省级学会或专业协会主办的设计奖</w:t>
            </w: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一等奖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前三名依次加10、7、4分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二等奖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前二名依次加7、4分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6" w:type="dxa"/>
            <w:vMerge w:val="continue"/>
            <w:tcBorders>
              <w:right w:val="single" w:color="auto" w:sz="2" w:space="0"/>
            </w:tcBorders>
          </w:tcPr>
          <w:p>
            <w:pPr>
              <w:spacing w:line="380" w:lineRule="exact"/>
              <w:jc w:val="center"/>
              <w:rPr>
                <w:rFonts w:ascii="仿宋_GB2312" w:eastAsia="仿宋_GB2312"/>
                <w:sz w:val="24"/>
              </w:rPr>
            </w:pPr>
          </w:p>
        </w:tc>
        <w:tc>
          <w:tcPr>
            <w:tcW w:w="1078" w:type="dxa"/>
            <w:tcBorders>
              <w:left w:val="single" w:color="auto" w:sz="2" w:space="0"/>
            </w:tcBorders>
          </w:tcPr>
          <w:p>
            <w:pPr>
              <w:spacing w:line="380" w:lineRule="exact"/>
              <w:jc w:val="center"/>
              <w:rPr>
                <w:rFonts w:ascii="仿宋_GB2312" w:eastAsia="仿宋_GB2312"/>
                <w:sz w:val="24"/>
              </w:rPr>
            </w:pPr>
            <w:r>
              <w:rPr>
                <w:rFonts w:hint="eastAsia" w:ascii="仿宋_GB2312" w:eastAsia="仿宋_GB2312"/>
                <w:sz w:val="24"/>
              </w:rPr>
              <w:t>三等奖</w:t>
            </w:r>
          </w:p>
        </w:tc>
        <w:tc>
          <w:tcPr>
            <w:tcW w:w="5638" w:type="dxa"/>
          </w:tcPr>
          <w:p>
            <w:pPr>
              <w:spacing w:line="380" w:lineRule="exact"/>
              <w:jc w:val="center"/>
              <w:rPr>
                <w:rFonts w:ascii="仿宋_GB2312" w:eastAsia="仿宋_GB2312"/>
                <w:sz w:val="24"/>
              </w:rPr>
            </w:pPr>
            <w:r>
              <w:rPr>
                <w:rFonts w:hint="eastAsia" w:ascii="仿宋_GB2312" w:eastAsia="仿宋_GB2312"/>
                <w:sz w:val="24"/>
              </w:rPr>
              <w:t>第一名加3分</w:t>
            </w:r>
          </w:p>
        </w:tc>
      </w:tr>
    </w:tbl>
    <w:p>
      <w:pPr>
        <w:spacing w:line="580" w:lineRule="exact"/>
        <w:rPr>
          <w:rFonts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w:t>
      </w:r>
      <w:r>
        <w:rPr>
          <w:rFonts w:ascii="仿宋_GB2312" w:eastAsia="仿宋_GB2312"/>
          <w:sz w:val="30"/>
          <w:szCs w:val="30"/>
        </w:rPr>
        <w:t>获批专利</w:t>
      </w:r>
    </w:p>
    <w:p>
      <w:pPr>
        <w:spacing w:line="520" w:lineRule="exact"/>
        <w:ind w:firstLine="600" w:firstLineChars="200"/>
        <w:rPr>
          <w:rFonts w:ascii="仿宋_GB2312" w:eastAsia="仿宋_GB2312"/>
          <w:sz w:val="30"/>
          <w:szCs w:val="30"/>
        </w:rPr>
      </w:pPr>
      <w:r>
        <w:rPr>
          <w:rFonts w:hint="eastAsia" w:ascii="仿宋_GB2312" w:eastAsia="仿宋_GB2312"/>
          <w:sz w:val="30"/>
          <w:szCs w:val="30"/>
        </w:rPr>
        <w:t>发明专利按A类学术期刊、实用新型专利按B类学术期刊、外观设计专利按核心期刊对待。前5名加分依次按同级别的100%、80%、60%、40%、20%加相应的分。</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（4）品种审定</w:t>
      </w:r>
    </w:p>
    <w:tbl>
      <w:tblPr>
        <w:tblStyle w:val="6"/>
        <w:tblW w:w="8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9"/>
        <w:gridCol w:w="5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39" w:type="dxa"/>
          </w:tcPr>
          <w:p>
            <w:pPr>
              <w:spacing w:line="380" w:lineRule="exact"/>
              <w:jc w:val="center"/>
              <w:rPr>
                <w:rFonts w:ascii="仿宋_GB2312" w:eastAsia="仿宋_GB2312"/>
                <w:sz w:val="24"/>
              </w:rPr>
            </w:pPr>
            <w:r>
              <w:rPr>
                <w:rFonts w:hint="eastAsia" w:ascii="仿宋_GB2312" w:eastAsia="仿宋_GB2312"/>
                <w:sz w:val="24"/>
              </w:rPr>
              <w:t>奖励级别</w:t>
            </w:r>
          </w:p>
        </w:tc>
        <w:tc>
          <w:tcPr>
            <w:tcW w:w="5735" w:type="dxa"/>
          </w:tcPr>
          <w:p>
            <w:pPr>
              <w:spacing w:line="380" w:lineRule="exact"/>
              <w:jc w:val="center"/>
              <w:rPr>
                <w:rFonts w:ascii="仿宋_GB2312" w:eastAsia="仿宋_GB2312"/>
                <w:sz w:val="24"/>
              </w:rPr>
            </w:pPr>
            <w:r>
              <w:rPr>
                <w:rFonts w:hint="eastAsia" w:ascii="仿宋_GB2312" w:eastAsia="仿宋_GB2312"/>
                <w:sz w:val="24"/>
              </w:rPr>
              <w:t>加分分值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3039" w:type="dxa"/>
            <w:vAlign w:val="center"/>
          </w:tcPr>
          <w:p>
            <w:pPr>
              <w:spacing w:line="380" w:lineRule="exact"/>
              <w:jc w:val="center"/>
              <w:rPr>
                <w:rFonts w:ascii="仿宋_GB2312" w:eastAsia="仿宋_GB2312"/>
                <w:sz w:val="24"/>
              </w:rPr>
            </w:pPr>
            <w:r>
              <w:rPr>
                <w:rFonts w:hint="eastAsia" w:ascii="仿宋_GB2312" w:eastAsia="仿宋_GB2312"/>
                <w:sz w:val="24"/>
              </w:rPr>
              <w:t>国家级成果</w:t>
            </w:r>
          </w:p>
        </w:tc>
        <w:tc>
          <w:tcPr>
            <w:tcW w:w="5735" w:type="dxa"/>
            <w:vAlign w:val="center"/>
          </w:tcPr>
          <w:p>
            <w:pPr>
              <w:spacing w:line="380" w:lineRule="exact"/>
              <w:jc w:val="center"/>
              <w:rPr>
                <w:rFonts w:ascii="仿宋_GB2312" w:eastAsia="仿宋_GB2312"/>
                <w:sz w:val="24"/>
              </w:rPr>
            </w:pPr>
            <w:r>
              <w:rPr>
                <w:rFonts w:hint="eastAsia" w:ascii="仿宋_GB2312" w:eastAsia="仿宋_GB2312"/>
                <w:sz w:val="24"/>
              </w:rPr>
              <w:t>前五名依次加25、20、15、10、5分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3039" w:type="dxa"/>
            <w:vAlign w:val="center"/>
          </w:tcPr>
          <w:p>
            <w:pPr>
              <w:spacing w:line="380" w:lineRule="exact"/>
              <w:jc w:val="center"/>
              <w:rPr>
                <w:rFonts w:ascii="仿宋_GB2312" w:eastAsia="仿宋_GB2312"/>
                <w:sz w:val="24"/>
              </w:rPr>
            </w:pPr>
            <w:r>
              <w:rPr>
                <w:rFonts w:hint="eastAsia" w:ascii="仿宋_GB2312" w:eastAsia="仿宋_GB2312"/>
                <w:sz w:val="24"/>
              </w:rPr>
              <w:t>省部级成果</w:t>
            </w:r>
          </w:p>
        </w:tc>
        <w:tc>
          <w:tcPr>
            <w:tcW w:w="5735" w:type="dxa"/>
            <w:vAlign w:val="center"/>
          </w:tcPr>
          <w:p>
            <w:pPr>
              <w:spacing w:line="380" w:lineRule="exact"/>
              <w:jc w:val="center"/>
              <w:rPr>
                <w:rFonts w:ascii="仿宋_GB2312" w:eastAsia="仿宋_GB2312"/>
                <w:sz w:val="24"/>
              </w:rPr>
            </w:pPr>
            <w:r>
              <w:rPr>
                <w:rFonts w:hint="eastAsia" w:ascii="仿宋_GB2312" w:eastAsia="仿宋_GB2312"/>
                <w:sz w:val="24"/>
              </w:rPr>
              <w:t>前五名依次加15、10、5、2、1分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20E5"/>
    <w:rsid w:val="00010950"/>
    <w:rsid w:val="0012638C"/>
    <w:rsid w:val="001B04D4"/>
    <w:rsid w:val="001F7184"/>
    <w:rsid w:val="002F4A9B"/>
    <w:rsid w:val="003E64E6"/>
    <w:rsid w:val="004C54D6"/>
    <w:rsid w:val="004F3A81"/>
    <w:rsid w:val="005329E0"/>
    <w:rsid w:val="00715303"/>
    <w:rsid w:val="007C6491"/>
    <w:rsid w:val="00822598"/>
    <w:rsid w:val="0086292E"/>
    <w:rsid w:val="00886282"/>
    <w:rsid w:val="00950721"/>
    <w:rsid w:val="00A920E5"/>
    <w:rsid w:val="00B65FE5"/>
    <w:rsid w:val="00BE48BA"/>
    <w:rsid w:val="00C4323F"/>
    <w:rsid w:val="06817ED4"/>
    <w:rsid w:val="17255FA0"/>
    <w:rsid w:val="1B80125D"/>
    <w:rsid w:val="1C780449"/>
    <w:rsid w:val="244D7C36"/>
    <w:rsid w:val="26615CE4"/>
    <w:rsid w:val="308C08EA"/>
    <w:rsid w:val="337C7886"/>
    <w:rsid w:val="35343D53"/>
    <w:rsid w:val="35A8372D"/>
    <w:rsid w:val="37D4446F"/>
    <w:rsid w:val="41E11F8B"/>
    <w:rsid w:val="56CB4078"/>
    <w:rsid w:val="65A10510"/>
    <w:rsid w:val="767B7933"/>
    <w:rsid w:val="7A333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559</Words>
  <Characters>3192</Characters>
  <Lines>26</Lines>
  <Paragraphs>7</Paragraphs>
  <TotalTime>10</TotalTime>
  <ScaleCrop>false</ScaleCrop>
  <LinksUpToDate>false</LinksUpToDate>
  <CharactersWithSpaces>3744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2015-09-15T07:33:00Z</dcterms:created>
  <dc:creator>郭亚宁</dc:creator>
  <cp:lastModifiedBy>路</cp:lastModifiedBy>
  <cp:lastPrinted>2016-10-10T09:29:00Z</cp:lastPrinted>
  <dcterms:modified xsi:type="dcterms:W3CDTF">2019-10-22T01:40:33Z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